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Rule="auto"/>
        <w:ind w:right="141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9583.0" w:type="dxa"/>
        <w:jc w:val="left"/>
        <w:tblInd w:w="146.0" w:type="dxa"/>
        <w:tblLayout w:type="fixed"/>
        <w:tblLook w:val="0400"/>
      </w:tblPr>
      <w:tblGrid>
        <w:gridCol w:w="2340"/>
        <w:gridCol w:w="5257"/>
        <w:gridCol w:w="1986"/>
        <w:tblGridChange w:id="0">
          <w:tblGrid>
            <w:gridCol w:w="2340"/>
            <w:gridCol w:w="5257"/>
            <w:gridCol w:w="1986"/>
          </w:tblGrid>
        </w:tblGridChange>
      </w:tblGrid>
      <w:tr>
        <w:trPr>
          <w:trHeight w:val="287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2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8"/>
                <w:szCs w:val="18"/>
                <w:rtl w:val="0"/>
              </w:rPr>
              <w:t xml:space="preserve"> </w:t>
            </w:r>
            <w:r w:rsidDel="00000000" w:rsidR="00000000" w:rsidRPr="00000000">
              <w:rPr/>
              <w:drawing>
                <wp:inline distB="0" distT="0" distL="0" distR="0">
                  <wp:extent cx="1143089" cy="438785"/>
                  <wp:effectExtent b="0" l="0" r="0" t="0"/>
                  <wp:docPr id="1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089" cy="4387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003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ind w:left="120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GESTIÓN HUMANA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5">
            <w:pPr>
              <w:ind w:left="112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CÓDIGO:FR-GH-006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9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1" w:val="clea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8">
            <w:pPr>
              <w:ind w:left="112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VERSION: 1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2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9"/>
                <w:szCs w:val="19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ind w:left="122" w:firstLine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TÉRMINOS DE REFERENCIA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C">
            <w:pPr>
              <w:ind w:left="112" w:firstLine="0"/>
              <w:rPr/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FECHA: 2016/08/19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spacing w:after="97" w:lineRule="auto"/>
        <w:ind w:right="141"/>
        <w:rPr/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59" w:right="54" w:hanging="1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La Misión de Observación Electoral –MOE- es una plataforma nacional de la sociedad civil, independiente de los gobiernos, de los partidos políticos y de intereses privados, que reúne 418 organizaciones no gubernamentales, de mujeres, sindicales, gremiales, religiosas, de jóvenes, indígenas y académicas, entre otras, y promueve la realización del derecho que tiene todo ciudadano(a) a participar en la conformación, ejercicio y control del poder político.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49" w:right="54" w:firstLine="0"/>
        <w:rPr/>
      </w:pPr>
      <w:r w:rsidDel="00000000" w:rsidR="00000000" w:rsidRPr="00000000">
        <w:rPr>
          <w:rFonts w:ascii="Arial" w:cs="Arial" w:eastAsia="Arial" w:hAnsi="Arial"/>
          <w:sz w:val="17"/>
          <w:szCs w:val="17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59" w:right="54" w:hanging="1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Además, tiene como propósito realizar una observación rigurosa, objetiva y autónoma de todas las etapas de los procesos electorales, para propender por un ejercicio comicial ajustado a principios de transparencia, seguridad, confiabilidad y autenticidad que refleje la verdadera voluntad de los ciudadanos y ciudadanas.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49" w:right="54" w:firstLine="0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49" w:right="54" w:firstLine="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el año 2021 el propósito de la MOE es contribuir a la construcción de una democracia que se fortalece desde una ciudadanía que conoce y ejerce sus derechos políticos y electorales de una manera tolerante, informada, activa y responsable frente a nuevos escenarios de inclusión política. Asimismo, la MOE no tolera actos discriminatorios por razón de etnia o raza, género, sexo, orientación sexual, religión o creencias, nacionalidad, ideología política, discapacidad o enfermedad y rechaza cualquier acción constitutiva de acoso laboral o sexual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0" w:line="240" w:lineRule="auto"/>
        <w:ind w:left="59" w:right="54" w:hanging="10"/>
        <w:jc w:val="both"/>
        <w:rPr/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Para lograr este objetivo, la misión conforma de manera amplia y pública una gran red de ciudadanos voluntarios debidamente formados en sistema electoral, delitos electorales y técnicas de observación electoral para que actúen antes, durante y después de los comicios.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color="000000" w:space="0" w:sz="6" w:val="single"/>
          <w:left w:color="000000" w:space="0" w:sz="6" w:val="single"/>
          <w:bottom w:color="000000" w:space="0" w:sz="6" w:val="single"/>
          <w:right w:color="000000" w:space="0" w:sz="6" w:val="single"/>
        </w:pBdr>
        <w:spacing w:after="2" w:lineRule="auto"/>
        <w:ind w:left="49" w:right="54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0" w:lineRule="auto"/>
        <w:ind w:left="62" w:firstLine="0"/>
        <w:jc w:val="center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Rule="auto"/>
        <w:ind w:right="5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Cargo: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Profesional Especializado(a) para el Observatorio de Justicia Electoral e Incidencia Política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Rule="auto"/>
        <w:ind w:left="596" w:firstLine="0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4"/>
        </w:numPr>
        <w:spacing w:after="4" w:line="249" w:lineRule="auto"/>
        <w:ind w:left="705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Perfil: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Abogado(a) con experiencia de 4 años (después de graduado(a)) en áreas como derecho constitucional, derecho electoral, participación ciudadana y derechos políticos-electorales, con estudios de especialización o maestría en estas mismas áreas.</w:t>
      </w:r>
    </w:p>
    <w:p w:rsidR="00000000" w:rsidDel="00000000" w:rsidP="00000000" w:rsidRDefault="00000000" w:rsidRPr="00000000" w14:paraId="00000019">
      <w:pPr>
        <w:spacing w:after="4" w:line="249" w:lineRule="auto"/>
        <w:ind w:left="70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4"/>
        </w:numPr>
        <w:spacing w:after="4" w:line="249" w:lineRule="auto"/>
        <w:ind w:left="705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Habilidades y conocimientos:</w:t>
      </w:r>
    </w:p>
    <w:p w:rsidR="00000000" w:rsidDel="00000000" w:rsidP="00000000" w:rsidRDefault="00000000" w:rsidRPr="00000000" w14:paraId="0000001B">
      <w:pPr>
        <w:spacing w:after="4" w:line="249" w:lineRule="auto"/>
        <w:ind w:left="705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Excelente capacidad de análisis y redacción de textos de investigación y políticas públicas.  </w:t>
      </w:r>
    </w:p>
    <w:p w:rsidR="00000000" w:rsidDel="00000000" w:rsidP="00000000" w:rsidRDefault="00000000" w:rsidRPr="00000000" w14:paraId="0000001D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Habilidades para la investigación.  </w:t>
      </w:r>
    </w:p>
    <w:p w:rsidR="00000000" w:rsidDel="00000000" w:rsidP="00000000" w:rsidRDefault="00000000" w:rsidRPr="00000000" w14:paraId="0000001E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Manejo básico de paquete ofimático (Procesador de texto, hoja de cálculo, presentaciones diapositivas). </w:t>
      </w:r>
    </w:p>
    <w:p w:rsidR="00000000" w:rsidDel="00000000" w:rsidP="00000000" w:rsidRDefault="00000000" w:rsidRPr="00000000" w14:paraId="0000001F">
      <w:pPr>
        <w:numPr>
          <w:ilvl w:val="2"/>
          <w:numId w:val="2"/>
        </w:numPr>
        <w:spacing w:after="1" w:line="242.99999999999997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Conocimiento de la estructura del Estado, especialmente de las autoridades e instituciones con competencia en asuntos relacionados con la promoción y defensa de los derechos políticos y electorales.  </w:t>
      </w:r>
    </w:p>
    <w:p w:rsidR="00000000" w:rsidDel="00000000" w:rsidP="00000000" w:rsidRDefault="00000000" w:rsidRPr="00000000" w14:paraId="00000020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Conocimiento sobre el funcionamiento de las corporaciones públicas (Congreso, Concejo y Asamblea). </w:t>
      </w:r>
    </w:p>
    <w:p w:rsidR="00000000" w:rsidDel="00000000" w:rsidP="00000000" w:rsidRDefault="00000000" w:rsidRPr="00000000" w14:paraId="00000021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Capacidad para elaborar documentos de tipo normativo y jurídico.    </w:t>
      </w:r>
    </w:p>
    <w:p w:rsidR="00000000" w:rsidDel="00000000" w:rsidP="00000000" w:rsidRDefault="00000000" w:rsidRPr="00000000" w14:paraId="00000022">
      <w:pPr>
        <w:numPr>
          <w:ilvl w:val="2"/>
          <w:numId w:val="2"/>
        </w:numPr>
        <w:spacing w:after="4" w:line="249" w:lineRule="auto"/>
        <w:ind w:left="1320" w:right="-30" w:hanging="36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Respeto en el relacionamiento y los derechos con poblaciones diversas, minoritarias y sujetos de especial protección.  </w:t>
      </w:r>
    </w:p>
    <w:p w:rsidR="00000000" w:rsidDel="00000000" w:rsidP="00000000" w:rsidRDefault="00000000" w:rsidRPr="00000000" w14:paraId="00000023">
      <w:pPr>
        <w:spacing w:after="0" w:lineRule="auto"/>
        <w:ind w:left="180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pacing w:after="8" w:line="250" w:lineRule="auto"/>
        <w:ind w:left="705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Obligaciones especificas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Elaborar informes, estudios e investigaciones sobre el ejercicio y garantía de los derechos políticos, el sistema político electoral, la transparencia y la lucha contra la corrupción en Colombia.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la elaboración de intervenciones ante autoridades estatales y la respuesta de acciones constitucionales y/o requerimientos judiciales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la formulación, coordinación y seguimiento de recomendaciones y propuestas para el ejercicio y garantía de los derechos políticos de las personas con discapacidad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Realizar el seguimiento legislativo en asuntos relacionados con los derechos políticos, sistema político electoral colombiano, transparencia y lucha contra la corrupción.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el estudio y análisis de los proyectos de reforma legal y constitucional relacionados con los derechos políticos, sistema político electoral colombiano, transparencia y lucha contra la corrupción.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la representación de la MOE y las acciones de incidencia y gestión institucional ante las diferentes autoridades estatales 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en la coordinación del Observatorio de Justicia Electoral e Incidencia Política de la MOE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en el manejo de irregularidades electorales.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Atender a la ciudadanía frente a inquietudes sobre el ejercicio de sus derechos políticos y el reporte de posibles irregularidades electorales.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Capacitar a las regionales de la MOE y a la ciudadanía en general sobre el ejercicio de los derechos políticos, el sistema político electoral colombiano y la criminalidad electoral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Apoyar la elaboración de proyectos e informes para agencias de cooperación internacional y convenios nacionales.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Cualquier otra actividad que se requiera o sea asignada por el Coordinador.</w:t>
      </w:r>
    </w:p>
    <w:p w:rsidR="00000000" w:rsidDel="00000000" w:rsidP="00000000" w:rsidRDefault="00000000" w:rsidRPr="00000000" w14:paraId="00000032">
      <w:pPr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widowControl w:val="0"/>
        <w:numPr>
          <w:ilvl w:val="1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1181" w:right="593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Generales: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1080" w:right="593" w:firstLine="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Asesorar a la MOE en temas el ejercicio y garantía de los derechos políticos, el sistema político electoral, la transparencia y la lucha contra la corrupción en Colombia.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Velar por el cumplimiento adecuado de los procesos y profesionales que tenga a cargo.</w:t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Entregar los documentos en la oportunidad y calidades acordadas.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Dar la visibilidad en todos los eventos y espacios de divulgación el labor de la organización.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Participar en reuniones con los cooperantes para presentación de resultados y actividades de los proyectos financiados. 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Informar a la Dirección sobre el desempeño de los procesos que tenga a cargo y las oportunidades de mejora.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1276" w:right="0" w:hanging="36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Cumplir con el Código de Ética y de Conducta de la MOE.</w:t>
      </w:r>
    </w:p>
    <w:p w:rsidR="00000000" w:rsidDel="00000000" w:rsidP="00000000" w:rsidRDefault="00000000" w:rsidRPr="00000000" w14:paraId="0000003C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3D">
      <w:pPr>
        <w:spacing w:after="4" w:line="250" w:lineRule="auto"/>
        <w:ind w:left="14" w:right="-6" w:hanging="1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Misión de Observación Electoral MOE no tolera actos discriminatorios por etnia o raza, genero, sexo, orientación sexual, nacionalidad, ideología política, discapacidad o enfermedad. Cualquier acto o expresión de discriminación será suficiente para la terminación del contrato.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numPr>
          <w:ilvl w:val="0"/>
          <w:numId w:val="4"/>
        </w:numPr>
        <w:spacing w:after="8" w:line="250" w:lineRule="auto"/>
        <w:ind w:left="705" w:hanging="360"/>
        <w:jc w:val="both"/>
        <w:rPr/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Características del contrato.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numPr>
          <w:ilvl w:val="2"/>
          <w:numId w:val="5"/>
        </w:numPr>
        <w:spacing w:after="4" w:line="249" w:lineRule="auto"/>
        <w:ind w:left="1065" w:right="58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Modalidad: Contrato laboral a término definido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numPr>
          <w:ilvl w:val="2"/>
          <w:numId w:val="5"/>
        </w:numPr>
        <w:spacing w:after="4" w:line="249" w:lineRule="auto"/>
        <w:ind w:left="1065" w:right="58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Duración: 4 meses contados desde la firma del contrato.</w:t>
      </w:r>
    </w:p>
    <w:p w:rsidR="00000000" w:rsidDel="00000000" w:rsidP="00000000" w:rsidRDefault="00000000" w:rsidRPr="00000000" w14:paraId="00000043">
      <w:pPr>
        <w:numPr>
          <w:ilvl w:val="2"/>
          <w:numId w:val="5"/>
        </w:numPr>
        <w:spacing w:after="4" w:line="249" w:lineRule="auto"/>
        <w:ind w:left="1065" w:right="58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Salario: 3 millones de pesos colombianos más las prestaciones de ley. </w:t>
      </w:r>
    </w:p>
    <w:p w:rsidR="00000000" w:rsidDel="00000000" w:rsidP="00000000" w:rsidRDefault="00000000" w:rsidRPr="00000000" w14:paraId="00000044">
      <w:pPr>
        <w:numPr>
          <w:ilvl w:val="2"/>
          <w:numId w:val="5"/>
        </w:numPr>
        <w:spacing w:after="4" w:line="249" w:lineRule="auto"/>
        <w:ind w:left="1065" w:right="58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Lugar de ejecución del contrato: Bogotá D.C., Colombia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numPr>
          <w:ilvl w:val="2"/>
          <w:numId w:val="5"/>
        </w:numPr>
        <w:spacing w:after="4" w:line="249" w:lineRule="auto"/>
        <w:ind w:left="1065" w:right="586" w:hanging="360"/>
        <w:jc w:val="both"/>
        <w:rPr/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Debe contar con las condiciones logísticas y técnicas para efectuar teletrabajo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lineRule="auto"/>
        <w:ind w:left="720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8" w:line="250" w:lineRule="auto"/>
        <w:ind w:left="831" w:hanging="10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Fecha límite para recepción de candidaturas: 19 de febrero de 2021.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4" w:line="249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Las hojas de vida debe ser enviadas a la siguiente dirección: </w:t>
      </w:r>
      <w:r w:rsidDel="00000000" w:rsidR="00000000" w:rsidRPr="00000000">
        <w:rPr>
          <w:rFonts w:ascii="Arial" w:cs="Arial" w:eastAsia="Arial" w:hAnsi="Arial"/>
          <w:color w:val="0000ff"/>
          <w:sz w:val="20"/>
          <w:szCs w:val="20"/>
          <w:u w:val="single"/>
          <w:rtl w:val="0"/>
        </w:rPr>
        <w:t xml:space="preserve">juridica2@moe.org.co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 con el asunto: “Profesional Especializado(a) para el Observatorio de Justicia Electoral e Incidencia Política”</w:t>
      </w:r>
    </w:p>
    <w:p w:rsidR="00000000" w:rsidDel="00000000" w:rsidP="00000000" w:rsidRDefault="00000000" w:rsidRPr="00000000" w14:paraId="00000049">
      <w:pPr>
        <w:spacing w:after="0" w:lineRule="auto"/>
        <w:ind w:left="821" w:firstLine="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4A">
      <w:pPr>
        <w:spacing w:after="4" w:line="249" w:lineRule="auto"/>
        <w:ind w:right="58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Sólo los candidatos preseleccionados serán contactados para la realización de entrevistas.  </w:t>
      </w:r>
    </w:p>
    <w:p w:rsidR="00000000" w:rsidDel="00000000" w:rsidP="00000000" w:rsidRDefault="00000000" w:rsidRPr="00000000" w14:paraId="0000004B">
      <w:pPr>
        <w:spacing w:after="4" w:line="249" w:lineRule="auto"/>
        <w:ind w:right="58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4" w:line="249" w:lineRule="auto"/>
        <w:ind w:right="586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La MOE es una organización que promueve la igualdad de oportunidades, por lo que invita a todas aquellas personas que se identifiquen con sus fines y con las tareas enunciadas a enviar sus candidaturas.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after="6900" w:line="250" w:lineRule="auto"/>
        <w:ind w:left="831" w:hanging="10"/>
        <w:jc w:val="both"/>
        <w:rPr/>
      </w:pPr>
      <w:r w:rsidDel="00000000" w:rsidR="00000000" w:rsidRPr="00000000">
        <w:rPr>
          <w:rtl w:val="0"/>
        </w:rPr>
      </w:r>
    </w:p>
    <w:sectPr>
      <w:pgSz w:h="16841" w:w="11911" w:orient="portrait"/>
      <w:pgMar w:bottom="706" w:top="545" w:left="1020" w:right="102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1068" w:hanging="360"/>
      </w:pPr>
      <w:rPr/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decimal"/>
      <w:lvlText w:val="%1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)"/>
      <w:lvlJc w:val="left"/>
      <w:pPr>
        <w:ind w:left="840" w:hanging="840"/>
      </w:pPr>
      <w:rPr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Letter"/>
      <w:lvlText w:val="%3)"/>
      <w:lvlJc w:val="left"/>
      <w:pPr>
        <w:ind w:left="1320" w:hanging="1320"/>
      </w:pPr>
      <w:rPr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lowerLetter"/>
      <w:lvlText w:val="%4)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821" w:hanging="361.00000000000006"/>
      </w:pPr>
      <w:rPr>
        <w:rFonts w:ascii="Arial" w:cs="Arial" w:eastAsia="Arial" w:hAnsi="Arial"/>
        <w:b w:val="1"/>
        <w:sz w:val="18"/>
        <w:szCs w:val="18"/>
      </w:rPr>
    </w:lvl>
    <w:lvl w:ilvl="1">
      <w:start w:val="1"/>
      <w:numFmt w:val="bullet"/>
      <w:lvlText w:val="-"/>
      <w:lvlJc w:val="left"/>
      <w:pPr>
        <w:ind w:left="1181" w:hanging="360"/>
      </w:pPr>
      <w:rPr>
        <w:rFonts w:ascii="Arial" w:cs="Arial" w:eastAsia="Arial" w:hAnsi="Arial"/>
        <w:sz w:val="20"/>
        <w:szCs w:val="20"/>
      </w:rPr>
    </w:lvl>
    <w:lvl w:ilvl="2">
      <w:start w:val="1"/>
      <w:numFmt w:val="bullet"/>
      <w:lvlText w:val="●"/>
      <w:lvlJc w:val="left"/>
      <w:pPr>
        <w:ind w:left="1541" w:hanging="360"/>
      </w:pPr>
      <w:rPr>
        <w:rFonts w:ascii="Calibri" w:cs="Calibri" w:eastAsia="Calibri" w:hAnsi="Calibri"/>
        <w:sz w:val="20"/>
        <w:szCs w:val="20"/>
      </w:rPr>
    </w:lvl>
    <w:lvl w:ilvl="3">
      <w:start w:val="1"/>
      <w:numFmt w:val="bullet"/>
      <w:lvlText w:val="•"/>
      <w:lvlJc w:val="left"/>
      <w:pPr>
        <w:ind w:left="2618" w:hanging="360"/>
      </w:pPr>
      <w:rPr/>
    </w:lvl>
    <w:lvl w:ilvl="4">
      <w:start w:val="1"/>
      <w:numFmt w:val="bullet"/>
      <w:lvlText w:val="•"/>
      <w:lvlJc w:val="left"/>
      <w:pPr>
        <w:ind w:left="3697" w:hanging="360"/>
      </w:pPr>
      <w:rPr/>
    </w:lvl>
    <w:lvl w:ilvl="5">
      <w:start w:val="1"/>
      <w:numFmt w:val="bullet"/>
      <w:lvlText w:val="•"/>
      <w:lvlJc w:val="left"/>
      <w:pPr>
        <w:ind w:left="4776" w:hanging="360"/>
      </w:pPr>
      <w:rPr/>
    </w:lvl>
    <w:lvl w:ilvl="6">
      <w:start w:val="1"/>
      <w:numFmt w:val="bullet"/>
      <w:lvlText w:val="•"/>
      <w:lvlJc w:val="left"/>
      <w:pPr>
        <w:ind w:left="5855" w:hanging="360"/>
      </w:pPr>
      <w:rPr/>
    </w:lvl>
    <w:lvl w:ilvl="7">
      <w:start w:val="1"/>
      <w:numFmt w:val="bullet"/>
      <w:lvlText w:val="•"/>
      <w:lvlJc w:val="left"/>
      <w:pPr>
        <w:ind w:left="6933" w:hanging="360"/>
      </w:pPr>
      <w:rPr/>
    </w:lvl>
    <w:lvl w:ilvl="8">
      <w:start w:val="1"/>
      <w:numFmt w:val="bullet"/>
      <w:lvlText w:val="•"/>
      <w:lvlJc w:val="left"/>
      <w:pPr>
        <w:ind w:left="8012" w:hanging="360"/>
      </w:pPr>
      <w:rPr/>
    </w:lvl>
  </w:abstractNum>
  <w:abstractNum w:abstractNumId="4">
    <w:lvl w:ilvl="0">
      <w:start w:val="1"/>
      <w:numFmt w:val="decimal"/>
      <w:lvlText w:val="%1."/>
      <w:lvlJc w:val="left"/>
      <w:pPr>
        <w:ind w:left="705" w:hanging="705"/>
      </w:pPr>
      <w:rPr>
        <w:rFonts w:ascii="Arial" w:cs="Arial" w:eastAsia="Arial" w:hAnsi="Arial"/>
        <w:b w:val="1"/>
        <w:i w:val="0"/>
        <w:strike w:val="0"/>
        <w:color w:val="000000"/>
        <w:sz w:val="18"/>
        <w:szCs w:val="18"/>
        <w:u w:val="none"/>
        <w:shd w:fill="auto" w:val="clear"/>
        <w:vertAlign w:val="baseline"/>
      </w:rPr>
    </w:lvl>
    <w:lvl w:ilvl="1">
      <w:start w:val="1"/>
      <w:numFmt w:val="decimal"/>
      <w:lvlText w:val="%1.%2."/>
      <w:lvlJc w:val="left"/>
      <w:pPr>
        <w:ind w:left="1440" w:hanging="1440"/>
      </w:pPr>
      <w:rPr>
        <w:rFonts w:ascii="Arial" w:cs="Arial" w:eastAsia="Arial" w:hAnsi="Arial"/>
        <w:b w:val="1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2160" w:hanging="21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abstractNum w:abstractNumId="5">
    <w:lvl w:ilvl="0">
      <w:start w:val="1"/>
      <w:numFmt w:val="bullet"/>
      <w:lvlText w:val="•"/>
      <w:lvlJc w:val="left"/>
      <w:pPr>
        <w:ind w:left="360" w:hanging="3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bullet"/>
      <w:lvlText w:val="o"/>
      <w:lvlJc w:val="left"/>
      <w:pPr>
        <w:ind w:left="720" w:hanging="7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bullet"/>
      <w:lvlText w:val="-"/>
      <w:lvlJc w:val="left"/>
      <w:pPr>
        <w:ind w:left="1065" w:hanging="1065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bullet"/>
      <w:lvlText w:val="•"/>
      <w:lvlJc w:val="left"/>
      <w:pPr>
        <w:ind w:left="1800" w:hanging="18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bullet"/>
      <w:lvlText w:val="o"/>
      <w:lvlJc w:val="left"/>
      <w:pPr>
        <w:ind w:left="2520" w:hanging="252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bullet"/>
      <w:lvlText w:val="▪"/>
      <w:lvlJc w:val="left"/>
      <w:pPr>
        <w:ind w:left="3240" w:hanging="324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bullet"/>
      <w:lvlText w:val="•"/>
      <w:lvlJc w:val="left"/>
      <w:pPr>
        <w:ind w:left="3960" w:hanging="396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bullet"/>
      <w:lvlText w:val="o"/>
      <w:lvlJc w:val="left"/>
      <w:pPr>
        <w:ind w:left="4680" w:hanging="468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bullet"/>
      <w:lvlText w:val="▪"/>
      <w:lvlJc w:val="left"/>
      <w:pPr>
        <w:ind w:left="5400" w:hanging="5400"/>
      </w:pPr>
      <w:rPr>
        <w:rFonts w:ascii="Arial" w:cs="Arial" w:eastAsia="Arial" w:hAnsi="Arial"/>
        <w:b w:val="0"/>
        <w:i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C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11.0" w:type="dxa"/>
        <w:left w:w="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